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quick-reference-checklists"/>
    <w:p>
      <w:pPr>
        <w:pStyle w:val="Heading1"/>
      </w:pPr>
      <w:r>
        <w:t xml:space="preserve">Quick Reference Checklists</w:t>
      </w:r>
    </w:p>
    <w:p>
      <w:pPr>
        <w:pStyle w:val="FirstParagraph"/>
      </w:pPr>
      <w:r>
        <w:rPr>
          <w:i/>
          <w:iCs/>
        </w:rPr>
        <w:t xml:space="preserve">From Firewall Policy Management in Modern Security Operations by Maurizio Moroni. You may adapt this template for use in your own organization. Latest version: https://firewallpolicybook.com/downloads/</w:t>
      </w:r>
    </w:p>
    <w:p>
      <w:pPr>
        <w:pStyle w:val="BodyText"/>
      </w:pPr>
      <w:r>
        <w:t xml:space="preserve">These are the operational checklists to run during day-to-day policy work. To place yourself on the maturity model, use the four stages described in Chapter 6 and score yourself with the self-assessment in Chapter 15, rather than repeating the exercise here.</w:t>
      </w:r>
    </w:p>
    <w:bookmarkStart w:id="9" w:name="pre-change-validation"/>
    <w:p>
      <w:pPr>
        <w:pStyle w:val="Heading2"/>
      </w:pPr>
      <w:r>
        <w:t xml:space="preserve">Pre-Change Validation</w:t>
      </w:r>
    </w:p>
    <w:p>
      <w:pPr>
        <w:pStyle w:val="FirstParagraph"/>
      </w:pPr>
      <w:r>
        <w:t xml:space="preserve">Run through this before pushing any firewall change:</w:t>
      </w:r>
    </w:p>
    <w:p>
      <w:pPr>
        <w:pStyle w:val="Compact"/>
        <w:numPr>
          <w:ilvl w:val="0"/>
          <w:numId w:val="1001"/>
        </w:numPr>
      </w:pPr>
      <w:r>
        <w:t xml:space="preserve">The business justification and owner are documented</w:t>
      </w:r>
    </w:p>
    <w:p>
      <w:pPr>
        <w:pStyle w:val="Compact"/>
        <w:numPr>
          <w:ilvl w:val="0"/>
          <w:numId w:val="1002"/>
        </w:numPr>
      </w:pPr>
      <w:r>
        <w:t xml:space="preserve">Source, destination, port, and protocol are confirmed, not assumed</w:t>
      </w:r>
    </w:p>
    <w:p>
      <w:pPr>
        <w:pStyle w:val="Compact"/>
        <w:numPr>
          <w:ilvl w:val="0"/>
          <w:numId w:val="1003"/>
        </w:numPr>
      </w:pPr>
      <w:r>
        <w:t xml:space="preserve">The rule is as narrow as the requirement allows (least privilege)</w:t>
      </w:r>
    </w:p>
    <w:p>
      <w:pPr>
        <w:pStyle w:val="Compact"/>
        <w:numPr>
          <w:ilvl w:val="0"/>
          <w:numId w:val="1004"/>
        </w:numPr>
      </w:pPr>
      <w:r>
        <w:t xml:space="preserve">The change was validated by policy lookup, simulation, or pre-production testing, where available</w:t>
      </w:r>
    </w:p>
    <w:p>
      <w:pPr>
        <w:pStyle w:val="Compact"/>
        <w:numPr>
          <w:ilvl w:val="0"/>
          <w:numId w:val="1005"/>
        </w:numPr>
      </w:pPr>
      <w:r>
        <w:t xml:space="preserve">A peer other than the author has reviewed it</w:t>
      </w:r>
    </w:p>
    <w:p>
      <w:pPr>
        <w:pStyle w:val="Compact"/>
        <w:numPr>
          <w:ilvl w:val="0"/>
          <w:numId w:val="1006"/>
        </w:numPr>
      </w:pPr>
      <w:r>
        <w:t xml:space="preserve">An expiry date is set for temporary access; continuing access has an owner and a review date</w:t>
      </w:r>
    </w:p>
    <w:p>
      <w:pPr>
        <w:pStyle w:val="Compact"/>
        <w:numPr>
          <w:ilvl w:val="0"/>
          <w:numId w:val="1007"/>
        </w:numPr>
      </w:pPr>
      <w:r>
        <w:t xml:space="preserve">A rollback step is written down</w:t>
      </w:r>
    </w:p>
    <w:bookmarkEnd w:id="9"/>
    <w:bookmarkStart w:id="10" w:name="rule-decommissioning"/>
    <w:p>
      <w:pPr>
        <w:pStyle w:val="Heading2"/>
      </w:pPr>
      <w:r>
        <w:t xml:space="preserve">Rule Decommissioning</w:t>
      </w:r>
    </w:p>
    <w:p>
      <w:pPr>
        <w:pStyle w:val="FirstParagraph"/>
      </w:pPr>
      <w:r>
        <w:t xml:space="preserve">Before removing a rule:</w:t>
      </w:r>
    </w:p>
    <w:p>
      <w:pPr>
        <w:pStyle w:val="Compact"/>
        <w:numPr>
          <w:ilvl w:val="0"/>
          <w:numId w:val="1008"/>
        </w:numPr>
      </w:pPr>
      <w:r>
        <w:t xml:space="preserve">Usage evidence supports removal: zero or negligible hits over the observation window, or the rule is shown to be redundant with equivalent enforcement, logging, and inspection</w:t>
      </w:r>
    </w:p>
    <w:p>
      <w:pPr>
        <w:pStyle w:val="Compact"/>
        <w:numPr>
          <w:ilvl w:val="0"/>
          <w:numId w:val="1009"/>
        </w:numPr>
      </w:pPr>
      <w:r>
        <w:t xml:space="preserve">The observation data is complete, including logging, counter resets, failover devices, and the relevant traffic paths</w:t>
      </w:r>
    </w:p>
    <w:p>
      <w:pPr>
        <w:pStyle w:val="Compact"/>
        <w:numPr>
          <w:ilvl w:val="0"/>
          <w:numId w:val="1010"/>
        </w:numPr>
      </w:pPr>
      <w:r>
        <w:t xml:space="preserve">Rare-use, seasonal, batch, and disaster-recovery dependencies have been checked</w:t>
      </w:r>
    </w:p>
    <w:p>
      <w:pPr>
        <w:pStyle w:val="Compact"/>
        <w:numPr>
          <w:ilvl w:val="0"/>
          <w:numId w:val="1011"/>
        </w:numPr>
      </w:pPr>
      <w:r>
        <w:t xml:space="preserve">Any redundant or replacement path has been validated</w:t>
      </w:r>
    </w:p>
    <w:p>
      <w:pPr>
        <w:pStyle w:val="Compact"/>
        <w:numPr>
          <w:ilvl w:val="0"/>
          <w:numId w:val="1012"/>
        </w:numPr>
      </w:pPr>
      <w:r>
        <w:t xml:space="preserve">The original justification has been reviewed</w:t>
      </w:r>
    </w:p>
    <w:p>
      <w:pPr>
        <w:pStyle w:val="Compact"/>
        <w:numPr>
          <w:ilvl w:val="0"/>
          <w:numId w:val="1013"/>
        </w:numPr>
      </w:pPr>
      <w:r>
        <w:t xml:space="preserve">Whether the systems the rule referenced still exist has been checked</w:t>
      </w:r>
    </w:p>
    <w:p>
      <w:pPr>
        <w:pStyle w:val="Compact"/>
        <w:numPr>
          <w:ilvl w:val="0"/>
          <w:numId w:val="1014"/>
        </w:numPr>
      </w:pPr>
      <w:r>
        <w:t xml:space="preserve">The business owner has confirmed removal is safe</w:t>
      </w:r>
    </w:p>
    <w:p>
      <w:pPr>
        <w:pStyle w:val="Compact"/>
        <w:numPr>
          <w:ilvl w:val="0"/>
          <w:numId w:val="1015"/>
        </w:numPr>
      </w:pPr>
      <w:r>
        <w:t xml:space="preserve">The rule has been disabled through change control and monitored for an appropriate period</w:t>
      </w:r>
    </w:p>
    <w:p>
      <w:pPr>
        <w:pStyle w:val="Compact"/>
        <w:numPr>
          <w:ilvl w:val="0"/>
          <w:numId w:val="1016"/>
        </w:numPr>
      </w:pPr>
      <w:r>
        <w:t xml:space="preserve">The previous configuration and the restoration procedure are retained</w:t>
      </w:r>
    </w:p>
    <w:p>
      <w:pPr>
        <w:pStyle w:val="Compact"/>
        <w:numPr>
          <w:ilvl w:val="0"/>
          <w:numId w:val="1017"/>
        </w:numPr>
      </w:pPr>
      <w:r>
        <w:t xml:space="preserve">Application health and unexpected denials have been checked before final deletion</w:t>
      </w:r>
    </w:p>
    <w:p>
      <w:pPr>
        <w:pStyle w:val="Compact"/>
        <w:numPr>
          <w:ilvl w:val="0"/>
          <w:numId w:val="1018"/>
        </w:numPr>
      </w:pPr>
      <w:r>
        <w:t xml:space="preserve">The deletion goes through change control, with monitoring for newly denied connections afterward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2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A6A6A6" w:space="0" w:sz="4" w:val="single"/>
        <w:left w:color="A6A6A6" w:space="0" w:sz="4" w:val="single"/>
        <w:bottom w:color="A6A6A6" w:space="0" w:sz="4" w:val="single"/>
        <w:right w:color="A6A6A6" w:space="0" w:sz="4" w:val="single"/>
        <w:insideH w:color="A6A6A6" w:space="0" w:sz="4" w:val="single"/>
        <w:insideV w:color="A6A6A6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tcPr>
        <w:tcBorders>
          <w:bottom w:val="single"/>
        </w:tcBorders>
        <w:shd w:color="auto" w:fill="E7EEF7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2026-10-19T17:40:22Z</dcterms:created>
  <dcterms:modified xsi:type="dcterms:W3CDTF">2026-10-19T17:40:22Z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